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rFonts w:hint="eastAsia" w:ascii="华文行楷" w:hAnsi="华文行楷" w:eastAsia="华文行楷" w:cs="华文行楷"/>
          <w:b/>
          <w:bCs/>
          <w:lang w:val="en-US" w:eastAsia="zh-CN"/>
        </w:rPr>
      </w:pPr>
      <w:r>
        <w:rPr>
          <w:rFonts w:hint="eastAsia" w:ascii="华文行楷" w:hAnsi="华文行楷" w:eastAsia="华文行楷" w:cs="华文行楷"/>
          <w:b/>
          <w:bCs/>
          <w:lang w:val="en-US" w:eastAsia="zh-CN"/>
        </w:rPr>
        <w:t>第二章    电阻电路的等效变换</w:t>
      </w:r>
    </w:p>
    <w:p>
      <w:p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求等效内阻</w:t>
      </w:r>
    </w:p>
    <w:p>
      <w:r>
        <w:drawing>
          <wp:inline distT="0" distB="0" distL="114300" distR="114300">
            <wp:extent cx="2555240" cy="1906905"/>
            <wp:effectExtent l="0" t="0" r="508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55240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9210" cy="1965325"/>
            <wp:effectExtent l="0" t="0" r="635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π与△的转换</w:t>
      </w:r>
    </w:p>
    <w:p>
      <w:r>
        <w:drawing>
          <wp:inline distT="0" distB="0" distL="114300" distR="114300">
            <wp:extent cx="2421255" cy="1701800"/>
            <wp:effectExtent l="0" t="0" r="1905" b="50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2125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电压源、电流源的等效变换</w:t>
      </w:r>
    </w:p>
    <w:p>
      <w:pPr>
        <w:bidi w:val="0"/>
      </w:pPr>
      <w:r>
        <w:drawing>
          <wp:inline distT="0" distB="0" distL="114300" distR="114300">
            <wp:extent cx="2599055" cy="1825625"/>
            <wp:effectExtent l="0" t="0" r="6985" b="317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0955" cy="1826895"/>
            <wp:effectExtent l="0" t="0" r="14605" b="190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求一端口的输入电阻（下图有两种方法：其一——外加电源；其二——直接分析，将受控源等效为电阻）</w:t>
      </w:r>
    </w:p>
    <w:p>
      <w:pPr>
        <w:bidi w:val="0"/>
      </w:pPr>
      <w:r>
        <w:drawing>
          <wp:inline distT="0" distB="0" distL="114300" distR="114300">
            <wp:extent cx="2513965" cy="1864995"/>
            <wp:effectExtent l="0" t="0" r="635" b="952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rPr>
          <w:rFonts w:hint="eastAsia" w:ascii="华文行楷" w:hAnsi="华文行楷" w:eastAsia="华文行楷" w:cs="华文行楷"/>
          <w:b/>
          <w:bCs/>
          <w:lang w:val="en-US" w:eastAsia="zh-CN"/>
        </w:rPr>
      </w:pPr>
      <w:r>
        <w:rPr>
          <w:rFonts w:hint="eastAsia" w:ascii="华文行楷" w:hAnsi="华文行楷" w:eastAsia="华文行楷" w:cs="华文行楷"/>
          <w:b/>
          <w:bCs/>
          <w:lang w:val="en-US" w:eastAsia="zh-CN"/>
        </w:rPr>
        <w:t xml:space="preserve">   电阻电路的一般分析</w:t>
      </w:r>
    </w:p>
    <w:p>
      <w:pPr>
        <w:numPr>
          <w:ilvl w:val="0"/>
          <w:numId w:val="0"/>
        </w:numPr>
        <w:bidi w:val="0"/>
        <w:rPr>
          <w:rFonts w:hint="default" w:ascii="华文行楷" w:hAnsi="华文行楷" w:eastAsia="华文行楷" w:cs="华文行楷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支路电流法    （第一个式子是KCL，第二、三个是KVL）</w:t>
      </w:r>
    </w:p>
    <w:p>
      <w:pPr>
        <w:bidi w:val="0"/>
      </w:pPr>
      <w:r>
        <w:drawing>
          <wp:inline distT="0" distB="0" distL="114300" distR="114300">
            <wp:extent cx="2665095" cy="2056765"/>
            <wp:effectExtent l="0" t="0" r="1905" b="63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 xml:space="preserve">回路电流法（网孔电流法）  </w:t>
      </w:r>
    </w:p>
    <w:p>
      <w:pPr>
        <w:bidi w:val="0"/>
      </w:pPr>
      <w:r>
        <w:drawing>
          <wp:inline distT="0" distB="0" distL="114300" distR="114300">
            <wp:extent cx="2722880" cy="1927225"/>
            <wp:effectExtent l="0" t="0" r="5080" b="825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86660" cy="1892300"/>
            <wp:effectExtent l="0" t="0" r="12700" b="1270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666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结点电压法</w:t>
      </w:r>
    </w:p>
    <w:p>
      <w:pPr>
        <w:bidi w:val="0"/>
      </w:pPr>
      <w:r>
        <w:drawing>
          <wp:inline distT="0" distB="0" distL="114300" distR="114300">
            <wp:extent cx="3237230" cy="2353310"/>
            <wp:effectExtent l="0" t="0" r="8890" b="889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numPr>
          <w:ilvl w:val="0"/>
          <w:numId w:val="1"/>
        </w:numPr>
        <w:bidi w:val="0"/>
        <w:rPr>
          <w:rFonts w:hint="eastAsia" w:ascii="华文行楷" w:hAnsi="华文行楷" w:eastAsia="华文行楷" w:cs="华文行楷"/>
          <w:b/>
          <w:bCs/>
          <w:lang w:val="en-US" w:eastAsia="zh-CN"/>
        </w:rPr>
      </w:pPr>
      <w:r>
        <w:rPr>
          <w:rFonts w:hint="eastAsia" w:ascii="华文行楷" w:hAnsi="华文行楷" w:eastAsia="华文行楷" w:cs="华文行楷"/>
          <w:b/>
          <w:bCs/>
          <w:lang w:val="en-US" w:eastAsia="zh-CN"/>
        </w:rPr>
        <w:t>电路定理</w:t>
      </w:r>
    </w:p>
    <w:p>
      <w:pPr>
        <w:numPr>
          <w:ilvl w:val="0"/>
          <w:numId w:val="0"/>
        </w:numPr>
        <w:bidi w:val="0"/>
        <w:rPr>
          <w:rFonts w:hint="default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叠加定理（受控源保留且控制量也要分解）</w:t>
      </w:r>
    </w:p>
    <w:p>
      <w:pPr>
        <w:widowControl w:val="0"/>
        <w:numPr>
          <w:ilvl w:val="0"/>
          <w:numId w:val="0"/>
        </w:numPr>
        <w:bidi w:val="0"/>
        <w:jc w:val="both"/>
      </w:pPr>
      <w:r>
        <w:drawing>
          <wp:inline distT="0" distB="0" distL="114300" distR="114300">
            <wp:extent cx="2635250" cy="1993265"/>
            <wp:effectExtent l="0" t="0" r="1270" b="317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0165" cy="2000885"/>
            <wp:effectExtent l="0" t="0" r="635" b="1079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叠加定理（列方程）                         齐性原理（倒推法）</w:t>
      </w:r>
    </w:p>
    <w:p>
      <w:pPr>
        <w:widowControl w:val="0"/>
        <w:numPr>
          <w:ilvl w:val="0"/>
          <w:numId w:val="0"/>
        </w:numPr>
        <w:bidi w:val="0"/>
        <w:jc w:val="both"/>
      </w:pPr>
      <w:r>
        <w:drawing>
          <wp:inline distT="0" distB="0" distL="114300" distR="114300">
            <wp:extent cx="2525395" cy="1783080"/>
            <wp:effectExtent l="0" t="0" r="4445" b="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5395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00275" cy="1785620"/>
            <wp:effectExtent l="0" t="0" r="9525" b="1270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替代定理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  <w:r>
        <w:drawing>
          <wp:inline distT="0" distB="0" distL="114300" distR="114300">
            <wp:extent cx="2360295" cy="1770380"/>
            <wp:effectExtent l="0" t="0" r="1905" b="1270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029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firstLine="3570" w:firstLineChars="1700"/>
        <w:jc w:val="left"/>
        <w:rPr>
          <w:rFonts w:hint="default"/>
          <w:lang w:val="en-US" w:eastAsia="zh-CN"/>
        </w:rPr>
      </w:pPr>
      <w:r>
        <w:drawing>
          <wp:anchor distT="0" distB="0" distL="114935" distR="114935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71755</wp:posOffset>
            </wp:positionV>
            <wp:extent cx="2747645" cy="1990725"/>
            <wp:effectExtent l="0" t="0" r="10795" b="5715"/>
            <wp:wrapTight wrapText="bothSides">
              <wp:wrapPolygon>
                <wp:start x="0" y="0"/>
                <wp:lineTo x="0" y="21497"/>
                <wp:lineTo x="21445" y="21497"/>
                <wp:lineTo x="21445" y="0"/>
                <wp:lineTo x="0" y="0"/>
              </wp:wrapPolygon>
            </wp:wrapTight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764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 w:ascii="楷体" w:hAnsi="楷体" w:eastAsia="楷体" w:cs="楷体"/>
          <w:b/>
          <w:bCs/>
          <w:lang w:val="en-US" w:eastAsia="zh-CN"/>
        </w:rPr>
        <w:t>应用对外等效简化电路后，如果要计算被等效部分内部的物理量，应该再把被等效部分单拿出来分析。</w:t>
      </w:r>
      <w:r>
        <w:rPr>
          <w:rFonts w:hint="eastAsia"/>
          <w:lang w:val="en-US" w:eastAsia="zh-CN"/>
        </w:rPr>
        <w:t xml:space="preserve">                                                                         </w:t>
      </w:r>
      <w:r>
        <w:rPr>
          <w:rFonts w:hint="eastAsia" w:ascii="楷体" w:hAnsi="楷体" w:eastAsia="楷体" w:cs="楷体"/>
          <w:b/>
          <w:bCs/>
          <w:lang w:val="en-US" w:eastAsia="zh-CN"/>
        </w:rPr>
        <w:t>比如本题</w:t>
      </w:r>
      <w:r>
        <w:rPr>
          <w:rFonts w:hint="eastAsia"/>
          <w:lang w:val="en-US" w:eastAsia="zh-CN"/>
        </w:rPr>
        <w:t>：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32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sz w:val="24"/>
                <w:szCs w:val="32"/>
                <w:lang w:val="en-US" w:eastAsia="zh-CN"/>
              </w:rPr>
              <m:t>I</m:t>
            </m:r>
            <m:ctrlPr>
              <w:rPr>
                <w:rFonts w:ascii="Cambria Math" w:hAnsi="Cambria Math"/>
                <w:i/>
                <w:sz w:val="24"/>
                <w:szCs w:val="32"/>
                <w:lang w:val="en-US"/>
              </w:rPr>
            </m:ctrlPr>
          </m:e>
          <m:sub>
            <m:ctrlPr>
              <w:rPr>
                <w:rFonts w:ascii="Cambria Math" w:hAnsi="Cambria Math"/>
                <w:i/>
                <w:sz w:val="24"/>
                <w:szCs w:val="32"/>
                <w:lang w:val="en-US"/>
              </w:rPr>
            </m:ctrlPr>
          </m:sub>
        </m:sSub>
      </m:oMath>
      <w:r>
        <w:rPr>
          <w:rFonts w:hint="eastAsia" w:ascii="楷体" w:hAnsi="楷体" w:eastAsia="楷体" w:cs="楷体"/>
          <w:b/>
          <w:bCs/>
          <w:lang w:val="en-US" w:eastAsia="zh-CN"/>
        </w:rPr>
        <w:t>不等于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32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sz w:val="24"/>
                <w:szCs w:val="32"/>
                <w:lang w:val="en-US" w:eastAsia="zh-CN"/>
              </w:rPr>
              <m:t>I</m:t>
            </m:r>
            <m:ctrlPr>
              <w:rPr>
                <w:rFonts w:ascii="Cambria Math" w:hAnsi="Cambria Math"/>
                <w:i/>
                <w:sz w:val="24"/>
                <w:szCs w:val="32"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sz w:val="24"/>
                <w:szCs w:val="32"/>
                <w:lang w:val="en-US" w:eastAsia="zh-CN"/>
              </w:rPr>
              <m:t>1</m:t>
            </m:r>
            <m:ctrlPr>
              <w:rPr>
                <w:rFonts w:ascii="Cambria Math" w:hAnsi="Cambria Math"/>
                <w:i/>
                <w:sz w:val="24"/>
                <w:szCs w:val="32"/>
                <w:lang w:val="en-US"/>
              </w:rPr>
            </m:ctrlPr>
          </m:sub>
        </m:sSub>
      </m:oMath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戴维宁等效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 w:ascii="楷体" w:hAnsi="楷体" w:eastAsia="楷体" w:cs="楷体"/>
          <w:b/>
          <w:bCs/>
          <w:lang w:val="en-US" w:eastAsia="zh-CN"/>
        </w:rPr>
      </w:pPr>
      <w:r>
        <w:drawing>
          <wp:inline distT="0" distB="0" distL="114300" distR="114300">
            <wp:extent cx="2557780" cy="1899285"/>
            <wp:effectExtent l="0" t="0" r="2540" b="571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74620" cy="1845945"/>
            <wp:effectExtent l="0" t="0" r="7620" b="13335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诺顿等效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 w:ascii="楷体" w:hAnsi="楷体" w:eastAsia="楷体" w:cs="楷体"/>
          <w:b/>
          <w:bCs/>
          <w:lang w:val="en-US" w:eastAsia="zh-CN"/>
        </w:rPr>
      </w:pPr>
      <w:r>
        <w:drawing>
          <wp:inline distT="0" distB="0" distL="114300" distR="114300">
            <wp:extent cx="2376805" cy="1821180"/>
            <wp:effectExtent l="0" t="0" r="635" b="762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76805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最大功率传输定理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 w:ascii="楷体" w:hAnsi="楷体" w:eastAsia="楷体" w:cs="楷体"/>
          <w:b/>
          <w:bCs/>
          <w:lang w:val="en-US" w:eastAsia="zh-CN"/>
        </w:rPr>
      </w:pPr>
      <w:r>
        <w:drawing>
          <wp:inline distT="0" distB="0" distL="114300" distR="114300">
            <wp:extent cx="2675255" cy="1797685"/>
            <wp:effectExtent l="0" t="0" r="6985" b="63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5255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2860" cy="1814830"/>
            <wp:effectExtent l="0" t="0" r="12700" b="1397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特勒根定理（下题中，打红叉的可以消掉是因为这部分是纯电阻电路且完全没变）</w:t>
      </w:r>
    </w:p>
    <w:p>
      <w:pPr>
        <w:widowControl w:val="0"/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2642870" cy="2003425"/>
            <wp:effectExtent l="0" t="0" r="8890" b="825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287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5080" cy="2049780"/>
            <wp:effectExtent l="0" t="0" r="0" b="762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互易定理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009900" cy="2016760"/>
            <wp:effectExtent l="0" t="0" r="7620" b="1016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0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  <w:r>
        <w:drawing>
          <wp:inline distT="0" distB="0" distL="114300" distR="114300">
            <wp:extent cx="2861945" cy="1974850"/>
            <wp:effectExtent l="0" t="0" r="3175" b="635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1410" cy="1341755"/>
            <wp:effectExtent l="0" t="0" r="1270" b="1460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numPr>
          <w:ilvl w:val="0"/>
          <w:numId w:val="1"/>
        </w:numPr>
        <w:bidi w:val="0"/>
        <w:rPr>
          <w:rFonts w:hint="eastAsia" w:ascii="华文行楷" w:hAnsi="华文行楷" w:eastAsia="华文行楷" w:cs="华文行楷"/>
          <w:b/>
          <w:bCs/>
          <w:lang w:val="en-US" w:eastAsia="zh-CN"/>
        </w:rPr>
      </w:pPr>
      <w:r>
        <w:rPr>
          <w:rFonts w:hint="eastAsia" w:ascii="华文行楷" w:hAnsi="华文行楷" w:eastAsia="华文行楷" w:cs="华文行楷"/>
          <w:b/>
          <w:bCs/>
          <w:lang w:val="en-US" w:eastAsia="zh-CN"/>
        </w:rPr>
        <w:t xml:space="preserve">无  </w:t>
      </w:r>
    </w:p>
    <w:p>
      <w:pPr>
        <w:numPr>
          <w:ilvl w:val="0"/>
          <w:numId w:val="1"/>
        </w:numPr>
        <w:bidi w:val="0"/>
        <w:rPr>
          <w:rFonts w:hint="eastAsia" w:ascii="华文行楷" w:hAnsi="华文行楷" w:eastAsia="华文行楷" w:cs="华文行楷"/>
          <w:b/>
          <w:bCs/>
          <w:lang w:val="en-US" w:eastAsia="zh-CN"/>
        </w:rPr>
      </w:pPr>
      <w:r>
        <w:rPr>
          <w:rFonts w:hint="eastAsia" w:ascii="华文行楷" w:hAnsi="华文行楷" w:eastAsia="华文行楷" w:cs="华文行楷"/>
          <w:b/>
          <w:bCs/>
          <w:lang w:val="en-US" w:eastAsia="zh-CN"/>
        </w:rPr>
        <w:t>与7合并</w:t>
      </w:r>
    </w:p>
    <w:p>
      <w:pPr>
        <w:numPr>
          <w:ilvl w:val="0"/>
          <w:numId w:val="1"/>
        </w:numPr>
        <w:bidi w:val="0"/>
        <w:rPr>
          <w:rFonts w:hint="eastAsia" w:ascii="华文行楷" w:hAnsi="华文行楷" w:eastAsia="华文行楷" w:cs="华文行楷"/>
          <w:b/>
          <w:bCs/>
          <w:lang w:val="en-US" w:eastAsia="zh-CN"/>
        </w:rPr>
      </w:pPr>
      <w:r>
        <w:rPr>
          <w:rFonts w:hint="eastAsia" w:ascii="华文行楷" w:hAnsi="华文行楷" w:eastAsia="华文行楷" w:cs="华文行楷"/>
          <w:b/>
          <w:bCs/>
          <w:lang w:val="en-US" w:eastAsia="zh-CN"/>
        </w:rPr>
        <w:t>一阶电路和二阶电路的时域分析</w:t>
      </w:r>
    </w:p>
    <w:p>
      <w:pPr>
        <w:numPr>
          <w:ilvl w:val="0"/>
          <w:numId w:val="0"/>
        </w:numPr>
        <w:bidi w:val="0"/>
        <w:rPr>
          <w:rFonts w:hint="default" w:ascii="华文行楷" w:hAnsi="华文行楷" w:eastAsia="华文行楷" w:cs="华文行楷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换路定理（注意：用到了替代定理）</w:t>
      </w:r>
    </w:p>
    <w:p>
      <w:pPr>
        <w:widowControl w:val="0"/>
        <w:numPr>
          <w:ilvl w:val="0"/>
          <w:numId w:val="0"/>
        </w:numPr>
        <w:bidi w:val="0"/>
        <w:jc w:val="both"/>
      </w:pPr>
      <w:r>
        <w:drawing>
          <wp:inline distT="0" distB="0" distL="114300" distR="114300">
            <wp:extent cx="2296795" cy="1662430"/>
            <wp:effectExtent l="0" t="0" r="4445" b="1397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一阶电路零输入响应——RC电路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（注意：C1与C2的电流与电压关联还是非关联对积分表达式有影响）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且u和实际的u1、u2不同，求u1、u2应该由i得到</w:t>
      </w:r>
    </w:p>
    <w:p>
      <w:pPr>
        <w:widowControl w:val="0"/>
        <w:numPr>
          <w:ilvl w:val="0"/>
          <w:numId w:val="0"/>
        </w:numPr>
        <w:bidi w:val="0"/>
        <w:jc w:val="both"/>
      </w:pPr>
      <w:r>
        <w:drawing>
          <wp:inline distT="0" distB="0" distL="114300" distR="114300">
            <wp:extent cx="2586990" cy="1835785"/>
            <wp:effectExtent l="0" t="0" r="3810" b="825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6205" cy="1997710"/>
            <wp:effectExtent l="0" t="0" r="10795" b="1397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620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</w:pPr>
      <w:r>
        <w:drawing>
          <wp:inline distT="0" distB="0" distL="114300" distR="114300">
            <wp:extent cx="2719070" cy="2106930"/>
            <wp:effectExtent l="0" t="0" r="8890" b="1143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</w:pPr>
    </w:p>
    <w:p>
      <w:pPr>
        <w:widowControl w:val="0"/>
        <w:numPr>
          <w:ilvl w:val="0"/>
          <w:numId w:val="0"/>
        </w:numPr>
        <w:bidi w:val="0"/>
        <w:jc w:val="both"/>
      </w:pPr>
    </w:p>
    <w:p>
      <w:pPr>
        <w:widowControl w:val="0"/>
        <w:numPr>
          <w:ilvl w:val="0"/>
          <w:numId w:val="0"/>
        </w:numPr>
        <w:bidi w:val="0"/>
        <w:jc w:val="both"/>
      </w:pPr>
    </w:p>
    <w:p>
      <w:pPr>
        <w:widowControl w:val="0"/>
        <w:numPr>
          <w:ilvl w:val="0"/>
          <w:numId w:val="0"/>
        </w:numPr>
        <w:bidi w:val="0"/>
        <w:jc w:val="both"/>
      </w:pPr>
    </w:p>
    <w:p>
      <w:pPr>
        <w:widowControl w:val="0"/>
        <w:numPr>
          <w:ilvl w:val="0"/>
          <w:numId w:val="0"/>
        </w:numPr>
        <w:bidi w:val="0"/>
        <w:jc w:val="both"/>
      </w:pPr>
    </w:p>
    <w:p>
      <w:pPr>
        <w:widowControl w:val="0"/>
        <w:numPr>
          <w:ilvl w:val="0"/>
          <w:numId w:val="0"/>
        </w:numPr>
        <w:bidi w:val="0"/>
        <w:jc w:val="both"/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一阶电路零输入响应——RL电路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（注意：参考方向，包括初始状态的参考方向及变化过程中的）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593975" cy="1745615"/>
            <wp:effectExtent l="0" t="0" r="12065" b="6985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5725" cy="1881505"/>
            <wp:effectExtent l="0" t="0" r="10795" b="8255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一阶电路零状态响应——RC电路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（注意：只看解法二*戴维宁||参考方向，包括初始状态的参考方向及变化过程中的）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  <w:r>
        <w:drawing>
          <wp:inline distT="0" distB="0" distL="114300" distR="114300">
            <wp:extent cx="2566670" cy="1923415"/>
            <wp:effectExtent l="0" t="0" r="8890" b="12065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667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70810" cy="1942465"/>
            <wp:effectExtent l="0" t="0" r="11430" b="8255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一阶电路零状态响应——RL电路</w:t>
      </w:r>
    </w:p>
    <w:p>
      <w:pPr>
        <w:widowControl w:val="0"/>
        <w:numPr>
          <w:ilvl w:val="0"/>
          <w:numId w:val="0"/>
        </w:numPr>
        <w:bidi w:val="0"/>
        <w:jc w:val="both"/>
      </w:pPr>
      <w:r>
        <w:drawing>
          <wp:inline distT="0" distB="0" distL="114300" distR="114300">
            <wp:extent cx="2663825" cy="2005965"/>
            <wp:effectExtent l="0" t="0" r="3175" b="571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</w:pPr>
    </w:p>
    <w:p>
      <w:pPr>
        <w:widowControl w:val="0"/>
        <w:numPr>
          <w:ilvl w:val="0"/>
          <w:numId w:val="0"/>
        </w:numPr>
        <w:bidi w:val="0"/>
        <w:jc w:val="both"/>
      </w:pPr>
    </w:p>
    <w:p>
      <w:pPr>
        <w:widowControl w:val="0"/>
        <w:numPr>
          <w:ilvl w:val="0"/>
          <w:numId w:val="0"/>
        </w:numPr>
        <w:bidi w:val="0"/>
        <w:jc w:val="both"/>
      </w:pPr>
    </w:p>
    <w:p>
      <w:pPr>
        <w:widowControl w:val="0"/>
        <w:numPr>
          <w:ilvl w:val="0"/>
          <w:numId w:val="0"/>
        </w:numPr>
        <w:bidi w:val="0"/>
        <w:jc w:val="both"/>
      </w:pPr>
    </w:p>
    <w:p>
      <w:pPr>
        <w:widowControl w:val="0"/>
        <w:numPr>
          <w:ilvl w:val="0"/>
          <w:numId w:val="0"/>
        </w:numPr>
        <w:bidi w:val="0"/>
        <w:jc w:val="both"/>
      </w:pPr>
    </w:p>
    <w:p>
      <w:pPr>
        <w:widowControl w:val="0"/>
        <w:numPr>
          <w:ilvl w:val="0"/>
          <w:numId w:val="0"/>
        </w:numPr>
        <w:bidi w:val="0"/>
        <w:jc w:val="both"/>
      </w:pPr>
    </w:p>
    <w:p>
      <w:pPr>
        <w:widowControl w:val="0"/>
        <w:numPr>
          <w:ilvl w:val="0"/>
          <w:numId w:val="0"/>
        </w:numPr>
        <w:bidi w:val="0"/>
        <w:jc w:val="both"/>
      </w:pPr>
    </w:p>
    <w:p>
      <w:pPr>
        <w:widowControl w:val="0"/>
        <w:numPr>
          <w:ilvl w:val="0"/>
          <w:numId w:val="0"/>
        </w:numPr>
        <w:bidi w:val="0"/>
        <w:jc w:val="both"/>
      </w:pPr>
    </w:p>
    <w:p>
      <w:pPr>
        <w:widowControl w:val="0"/>
        <w:numPr>
          <w:ilvl w:val="0"/>
          <w:numId w:val="0"/>
        </w:numPr>
        <w:bidi w:val="0"/>
        <w:jc w:val="both"/>
      </w:pPr>
      <w:r>
        <w:rPr>
          <w:rFonts w:hint="eastAsia" w:ascii="楷体" w:hAnsi="楷体" w:eastAsia="楷体" w:cs="楷体"/>
          <w:b/>
          <w:bCs/>
          <w:lang w:val="en-US" w:eastAsia="zh-CN"/>
        </w:rPr>
        <w:t>一阶电路全响应——RL电路</w:t>
      </w:r>
    </w:p>
    <w:p>
      <w:pPr>
        <w:widowControl w:val="0"/>
        <w:numPr>
          <w:ilvl w:val="0"/>
          <w:numId w:val="0"/>
        </w:numPr>
        <w:bidi w:val="0"/>
        <w:jc w:val="both"/>
      </w:pPr>
      <w:r>
        <w:drawing>
          <wp:inline distT="0" distB="0" distL="114300" distR="114300">
            <wp:extent cx="2499995" cy="1876425"/>
            <wp:effectExtent l="0" t="0" r="14605" b="13335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9999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3475" cy="1724025"/>
            <wp:effectExtent l="0" t="0" r="4445" b="13335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034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</w:pPr>
      <w:r>
        <w:rPr>
          <w:rFonts w:hint="eastAsia" w:ascii="楷体" w:hAnsi="楷体" w:eastAsia="楷体" w:cs="楷体"/>
          <w:b/>
          <w:bCs/>
          <w:lang w:val="en-US" w:eastAsia="zh-CN"/>
        </w:rPr>
        <w:t>一阶电路全响应——RC电路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460625" cy="1823720"/>
            <wp:effectExtent l="0" t="0" r="8255" b="508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59075" cy="1848485"/>
            <wp:effectExtent l="0" t="0" r="14605" b="10795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5907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三要素法——例一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  <w:r>
        <w:drawing>
          <wp:inline distT="0" distB="0" distL="114300" distR="114300">
            <wp:extent cx="2661285" cy="2012950"/>
            <wp:effectExtent l="0" t="0" r="5715" b="13970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128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1435" cy="1957070"/>
            <wp:effectExtent l="0" t="0" r="14605" b="8890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143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三要素法——例二（下题中戴维宁等效时用了加压求流法）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  <w:r>
        <w:drawing>
          <wp:inline distT="0" distB="0" distL="114300" distR="114300">
            <wp:extent cx="2235835" cy="1595755"/>
            <wp:effectExtent l="0" t="0" r="4445" b="4445"/>
            <wp:docPr id="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3583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77440" cy="1689735"/>
            <wp:effectExtent l="0" t="0" r="0" b="1905"/>
            <wp:docPr id="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bidi w:val="0"/>
      </w:pPr>
      <w:r>
        <w:rPr>
          <w:rFonts w:hint="eastAsia" w:ascii="华文行楷" w:hAnsi="华文行楷" w:eastAsia="华文行楷" w:cs="华文行楷"/>
          <w:b/>
          <w:bCs/>
          <w:lang w:val="en-US" w:eastAsia="zh-CN"/>
        </w:rPr>
        <w:t xml:space="preserve">相量法 </w:t>
      </w:r>
    </w:p>
    <w:p>
      <w:pPr>
        <w:numPr>
          <w:ilvl w:val="0"/>
          <w:numId w:val="0"/>
        </w:numPr>
        <w:bidi w:val="0"/>
        <w:rPr>
          <w:rFonts w:hint="default" w:ascii="华文行楷" w:hAnsi="华文行楷" w:eastAsia="华文行楷" w:cs="华文行楷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关于电表读数是有效值的问题（本题中R，X 仅代表是电阻还是感抗，没有数值的意思）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2991485" cy="2306320"/>
            <wp:effectExtent l="0" t="0" r="10795" b="1016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91485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利用相量求解题中参量（注意：等效为电阻的记作jX，而非X）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2679700" cy="1863090"/>
            <wp:effectExtent l="0" t="0" r="2540" b="1143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7615" cy="1800225"/>
            <wp:effectExtent l="0" t="0" r="6985" b="1333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numPr>
          <w:ilvl w:val="0"/>
          <w:numId w:val="2"/>
        </w:numPr>
        <w:tabs>
          <w:tab w:val="left" w:pos="1584"/>
        </w:tabs>
        <w:bidi w:val="0"/>
        <w:rPr>
          <w:rFonts w:hint="eastAsia" w:ascii="华文行楷" w:hAnsi="华文行楷" w:eastAsia="华文行楷" w:cs="华文行楷"/>
          <w:b/>
          <w:bCs/>
          <w:lang w:val="en-US" w:eastAsia="zh-CN"/>
        </w:rPr>
      </w:pPr>
      <w:r>
        <w:rPr>
          <w:rFonts w:hint="eastAsia" w:ascii="华文行楷" w:hAnsi="华文行楷" w:eastAsia="华文行楷" w:cs="华文行楷"/>
          <w:b/>
          <w:bCs/>
          <w:lang w:val="en-US" w:eastAsia="zh-CN"/>
        </w:rPr>
        <w:t xml:space="preserve"> </w:t>
      </w:r>
      <w:r>
        <w:rPr>
          <w:rFonts w:hint="eastAsia" w:ascii="华文行楷" w:hAnsi="华文行楷" w:eastAsia="华文行楷" w:cs="华文行楷"/>
          <w:b/>
          <w:bCs/>
          <w:lang w:val="en-US" w:eastAsia="zh-CN"/>
        </w:rPr>
        <w:tab/>
      </w:r>
    </w:p>
    <w:p>
      <w:pPr>
        <w:numPr>
          <w:ilvl w:val="0"/>
          <w:numId w:val="0"/>
        </w:numPr>
        <w:bidi w:val="0"/>
        <w:rPr>
          <w:rFonts w:hint="default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阻抗与导纳</w:t>
      </w:r>
    </w:p>
    <w:p>
      <w:pPr>
        <w:widowControl w:val="0"/>
        <w:numPr>
          <w:ilvl w:val="0"/>
          <w:numId w:val="0"/>
        </w:numPr>
        <w:tabs>
          <w:tab w:val="left" w:pos="1584"/>
        </w:tabs>
        <w:bidi w:val="0"/>
        <w:jc w:val="both"/>
      </w:pPr>
      <w:r>
        <w:drawing>
          <wp:inline distT="0" distB="0" distL="114300" distR="114300">
            <wp:extent cx="2510790" cy="1893570"/>
            <wp:effectExtent l="0" t="0" r="3810" b="1143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079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01290" cy="1932305"/>
            <wp:effectExtent l="0" t="0" r="11430" b="317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 w:ascii="楷体" w:hAnsi="楷体" w:eastAsia="楷体" w:cs="楷体"/>
          <w:b/>
          <w:bCs/>
          <w:lang w:val="en-US" w:eastAsia="zh-CN"/>
        </w:rPr>
      </w:pPr>
      <w:r>
        <w:rPr>
          <w:rFonts w:hint="eastAsia" w:ascii="楷体" w:hAnsi="楷体" w:eastAsia="楷体" w:cs="楷体"/>
          <w:b/>
          <w:bCs/>
          <w:lang w:val="en-US" w:eastAsia="zh-CN"/>
        </w:rPr>
        <w:t>关于Z和Y与其他知识点的结合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2585720" cy="1998980"/>
            <wp:effectExtent l="0" t="0" r="5080" b="1270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0920" cy="1892300"/>
            <wp:effectExtent l="0" t="0" r="5080" b="1270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637155" cy="1927860"/>
            <wp:effectExtent l="0" t="0" r="14605" b="762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37155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8550" cy="1780540"/>
            <wp:effectExtent l="0" t="0" r="8890" b="254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  <w:r>
        <w:drawing>
          <wp:inline distT="0" distB="0" distL="114300" distR="114300">
            <wp:extent cx="2621280" cy="1758315"/>
            <wp:effectExtent l="0" t="0" r="0" b="952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楷体" w:hAnsi="楷体" w:eastAsia="楷体" w:cs="楷体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1584"/>
        </w:tabs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1584"/>
        </w:tabs>
        <w:bidi w:val="0"/>
        <w:jc w:val="both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numPr>
          <w:ilvl w:val="0"/>
          <w:numId w:val="2"/>
        </w:numPr>
        <w:bidi w:val="0"/>
        <w:rPr>
          <w:rFonts w:hint="eastAsia" w:ascii="华文行楷" w:hAnsi="华文行楷" w:eastAsia="华文行楷" w:cs="华文行楷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华文行楷" w:hAnsi="华文行楷" w:eastAsia="华文行楷" w:cs="华文行楷"/>
          <w:b/>
          <w:bCs/>
          <w:lang w:val="en-US" w:eastAsia="zh-CN"/>
        </w:rPr>
      </w:pPr>
      <w:bookmarkStart w:id="0" w:name="_GoBack"/>
      <w:r>
        <w:drawing>
          <wp:inline distT="0" distB="0" distL="114300" distR="114300">
            <wp:extent cx="3114675" cy="2569210"/>
            <wp:effectExtent l="0" t="0" r="9525" b="635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8B9A451"/>
    <w:multiLevelType w:val="singleLevel"/>
    <w:tmpl w:val="C8B9A451"/>
    <w:lvl w:ilvl="0" w:tentative="0">
      <w:start w:val="8"/>
      <w:numFmt w:val="chineseCounting"/>
      <w:suff w:val="space"/>
      <w:lvlText w:val="第%1章"/>
      <w:lvlJc w:val="left"/>
      <w:rPr>
        <w:rFonts w:hint="eastAsia" w:ascii="华文行楷" w:hAnsi="华文行楷" w:eastAsia="华文行楷" w:cs="华文行楷"/>
        <w:sz w:val="21"/>
        <w:szCs w:val="21"/>
      </w:rPr>
    </w:lvl>
  </w:abstractNum>
  <w:abstractNum w:abstractNumId="1">
    <w:nsid w:val="356E5A85"/>
    <w:multiLevelType w:val="singleLevel"/>
    <w:tmpl w:val="356E5A85"/>
    <w:lvl w:ilvl="0" w:tentative="0">
      <w:start w:val="3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F92E8E"/>
    <w:rsid w:val="0FB07FD9"/>
    <w:rsid w:val="136D5E54"/>
    <w:rsid w:val="163352FA"/>
    <w:rsid w:val="25B249E3"/>
    <w:rsid w:val="2DCB3D55"/>
    <w:rsid w:val="384B3B7D"/>
    <w:rsid w:val="41535839"/>
    <w:rsid w:val="47D64FD6"/>
    <w:rsid w:val="4A792961"/>
    <w:rsid w:val="4EF353B6"/>
    <w:rsid w:val="519565D6"/>
    <w:rsid w:val="5EE446C4"/>
    <w:rsid w:val="633E3E7E"/>
    <w:rsid w:val="7D5B1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194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2021-05-28T10:47:00Z</dcterms:created>
  <dc:creator>86166</dc:creator>
  <cp:lastModifiedBy>韩佳迅</cp:lastModifiedBy>
  <dcterms:modified xsi:type="dcterms:W3CDTF">2021-06-24T14:39:42Z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EF92DD7968AD4A5E9E2502FDB363FF89</vt:lpwstr>
  </property>
</Properties>
</file>